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C8218" w14:textId="77777777" w:rsidR="00052832" w:rsidRDefault="00052832">
      <w:pPr>
        <w:widowControl w:val="0"/>
        <w:jc w:val="center"/>
        <w:outlineLvl w:val="0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Kenneth Ross</w:t>
      </w:r>
    </w:p>
    <w:p w14:paraId="25E796AF" w14:textId="77777777" w:rsidR="00052832" w:rsidRPr="00CA009F" w:rsidRDefault="00052832">
      <w:pPr>
        <w:widowControl w:val="0"/>
        <w:spacing w:after="8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A009F">
        <w:rPr>
          <w:rFonts w:ascii="Arial" w:hAnsi="Arial" w:cs="Arial"/>
          <w:b/>
          <w:bCs/>
          <w:sz w:val="32"/>
          <w:szCs w:val="32"/>
        </w:rPr>
        <w:t xml:space="preserve">Attorney </w:t>
      </w:r>
      <w:r w:rsidR="00AF22B5">
        <w:rPr>
          <w:rFonts w:ascii="Arial" w:hAnsi="Arial" w:cs="Arial"/>
          <w:b/>
          <w:bCs/>
          <w:sz w:val="32"/>
          <w:szCs w:val="32"/>
        </w:rPr>
        <w:t xml:space="preserve">and </w:t>
      </w:r>
      <w:r w:rsidR="001F7C36">
        <w:rPr>
          <w:rFonts w:ascii="Arial" w:hAnsi="Arial" w:cs="Arial"/>
          <w:b/>
          <w:bCs/>
          <w:sz w:val="32"/>
          <w:szCs w:val="32"/>
        </w:rPr>
        <w:t xml:space="preserve">Product </w:t>
      </w:r>
      <w:r w:rsidR="00CA009F" w:rsidRPr="00CA009F">
        <w:rPr>
          <w:rFonts w:ascii="Arial" w:hAnsi="Arial" w:cs="Arial"/>
          <w:b/>
          <w:bCs/>
          <w:sz w:val="32"/>
          <w:szCs w:val="32"/>
        </w:rPr>
        <w:t>Safety Consultant</w:t>
      </w:r>
    </w:p>
    <w:p w14:paraId="408C6CE3" w14:textId="77777777" w:rsidR="00052832" w:rsidRDefault="00052832">
      <w:pPr>
        <w:widowControl w:val="0"/>
        <w:pBdr>
          <w:bottom w:val="single" w:sz="4" w:space="1" w:color="auto"/>
        </w:pBdr>
        <w:spacing w:after="8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Counsel, Bowman and Brooke LLP</w:t>
      </w:r>
    </w:p>
    <w:p w14:paraId="663A1039" w14:textId="77777777" w:rsidR="00052832" w:rsidRDefault="00052832">
      <w:pPr>
        <w:widowControl w:val="0"/>
        <w:rPr>
          <w:sz w:val="20"/>
          <w:szCs w:val="20"/>
        </w:rPr>
      </w:pPr>
    </w:p>
    <w:p w14:paraId="5C8D5570" w14:textId="77777777" w:rsidR="00052832" w:rsidRDefault="00052832">
      <w:pPr>
        <w:widowControl w:val="0"/>
        <w:rPr>
          <w:rFonts w:ascii="Arial" w:hAnsi="Arial" w:cs="Arial"/>
          <w:sz w:val="20"/>
          <w:szCs w:val="20"/>
        </w:rPr>
        <w:sectPr w:rsidR="00052832" w:rsidSect="00252631">
          <w:footerReference w:type="default" r:id="rId7"/>
          <w:type w:val="continuous"/>
          <w:pgSz w:w="12240" w:h="15840"/>
          <w:pgMar w:top="605" w:right="1440" w:bottom="1152" w:left="1440" w:header="720" w:footer="300" w:gutter="0"/>
          <w:cols w:space="720"/>
          <w:noEndnote/>
        </w:sectPr>
      </w:pPr>
    </w:p>
    <w:p w14:paraId="351397C2" w14:textId="77777777" w:rsidR="00E63491" w:rsidRDefault="00E63491" w:rsidP="00325473">
      <w:pPr>
        <w:widowControl w:val="0"/>
        <w:tabs>
          <w:tab w:val="left" w:pos="300"/>
          <w:tab w:val="left" w:pos="657"/>
        </w:tabs>
        <w:spacing w:line="226" w:lineRule="exact"/>
        <w:ind w:left="612" w:right="-810" w:hanging="300"/>
        <w:rPr>
          <w:rFonts w:ascii="Arial" w:hAnsi="Arial" w:cs="Arial"/>
          <w:color w:val="000000"/>
          <w:sz w:val="20"/>
          <w:szCs w:val="20"/>
          <w:lang w:val="sv-SE"/>
        </w:rPr>
      </w:pPr>
      <w:r>
        <w:rPr>
          <w:rFonts w:ascii="Arial" w:hAnsi="Arial" w:cs="Arial"/>
          <w:color w:val="000000"/>
          <w:sz w:val="20"/>
          <w:szCs w:val="20"/>
          <w:lang w:val="sv-SE"/>
        </w:rPr>
        <w:t>447 Fairway Dr.</w:t>
      </w:r>
    </w:p>
    <w:p w14:paraId="4BB1C0CC" w14:textId="77777777" w:rsidR="00E63491" w:rsidRDefault="00E63491" w:rsidP="00325473">
      <w:pPr>
        <w:widowControl w:val="0"/>
        <w:tabs>
          <w:tab w:val="left" w:pos="300"/>
          <w:tab w:val="left" w:pos="657"/>
        </w:tabs>
        <w:spacing w:line="226" w:lineRule="exact"/>
        <w:ind w:left="612" w:right="-810" w:hanging="300"/>
        <w:rPr>
          <w:rFonts w:ascii="Arial" w:hAnsi="Arial" w:cs="Arial"/>
          <w:color w:val="000000"/>
          <w:sz w:val="20"/>
          <w:szCs w:val="20"/>
          <w:lang w:val="sv-SE"/>
        </w:rPr>
      </w:pPr>
      <w:r>
        <w:rPr>
          <w:rFonts w:ascii="Arial" w:hAnsi="Arial" w:cs="Arial"/>
          <w:color w:val="000000"/>
          <w:sz w:val="20"/>
          <w:szCs w:val="20"/>
          <w:lang w:val="sv-SE"/>
        </w:rPr>
        <w:t>Midway, Utah 84049</w:t>
      </w:r>
    </w:p>
    <w:p w14:paraId="7D3E2B58" w14:textId="77777777" w:rsidR="00052832" w:rsidRPr="00803244" w:rsidRDefault="00B3721D" w:rsidP="00325473">
      <w:pPr>
        <w:widowControl w:val="0"/>
        <w:tabs>
          <w:tab w:val="left" w:pos="300"/>
          <w:tab w:val="left" w:pos="657"/>
        </w:tabs>
        <w:spacing w:line="226" w:lineRule="exact"/>
        <w:ind w:left="612" w:right="-810" w:hanging="300"/>
        <w:rPr>
          <w:rFonts w:ascii="Arial" w:hAnsi="Arial" w:cs="Arial"/>
          <w:color w:val="000000"/>
          <w:sz w:val="20"/>
          <w:szCs w:val="20"/>
          <w:lang w:val="sv-SE"/>
        </w:rPr>
      </w:pPr>
      <w:hyperlink r:id="rId8" w:history="1">
        <w:r w:rsidR="00E07AF3" w:rsidRPr="00803244">
          <w:rPr>
            <w:rStyle w:val="Hyperlink"/>
            <w:rFonts w:ascii="Arial" w:hAnsi="Arial" w:cs="Arial"/>
            <w:color w:val="000000"/>
            <w:sz w:val="20"/>
            <w:szCs w:val="20"/>
            <w:lang w:val="sv-SE"/>
          </w:rPr>
          <w:t>www.productliabilityprevention.com</w:t>
        </w:r>
      </w:hyperlink>
      <w:r w:rsidR="00E07AF3" w:rsidRPr="00803244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5511DBFC" w14:textId="77777777" w:rsidR="00E63491" w:rsidRDefault="00052832" w:rsidP="00E63491">
      <w:pPr>
        <w:pStyle w:val="BodyText"/>
        <w:ind w:left="-90"/>
        <w:rPr>
          <w:sz w:val="20"/>
          <w:szCs w:val="20"/>
          <w:lang w:val="fr-FR"/>
        </w:rPr>
      </w:pPr>
      <w:r w:rsidRPr="00FD1970">
        <w:rPr>
          <w:sz w:val="20"/>
          <w:szCs w:val="20"/>
          <w:lang w:val="sv-SE"/>
        </w:rPr>
        <w:t xml:space="preserve">    </w:t>
      </w:r>
      <w:r w:rsidR="004B44B1">
        <w:rPr>
          <w:sz w:val="20"/>
          <w:szCs w:val="20"/>
          <w:lang w:val="sv-SE"/>
        </w:rPr>
        <w:t xml:space="preserve"> </w:t>
      </w:r>
      <w:r w:rsidR="00E63491">
        <w:rPr>
          <w:sz w:val="20"/>
          <w:szCs w:val="20"/>
          <w:lang w:val="sv-SE"/>
        </w:rPr>
        <w:t xml:space="preserve">  </w:t>
      </w:r>
      <w:r w:rsidR="00E8274C" w:rsidRPr="00E07AF3">
        <w:rPr>
          <w:sz w:val="20"/>
          <w:szCs w:val="20"/>
          <w:lang w:val="fr-FR"/>
        </w:rPr>
        <w:t>Phone:</w:t>
      </w:r>
      <w:r w:rsidRPr="00E07AF3">
        <w:rPr>
          <w:sz w:val="20"/>
          <w:szCs w:val="20"/>
          <w:lang w:val="fr-FR"/>
        </w:rPr>
        <w:t xml:space="preserve">(952) </w:t>
      </w:r>
      <w:r w:rsidR="00E63491">
        <w:rPr>
          <w:sz w:val="20"/>
          <w:szCs w:val="20"/>
          <w:lang w:val="fr-FR"/>
        </w:rPr>
        <w:t xml:space="preserve">210-2212  </w:t>
      </w:r>
    </w:p>
    <w:p w14:paraId="293126B1" w14:textId="77777777" w:rsidR="00052832" w:rsidRPr="00E07AF3" w:rsidRDefault="00E63491" w:rsidP="00E63491">
      <w:pPr>
        <w:pStyle w:val="BodyText"/>
        <w:ind w:left="-54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</w:t>
      </w:r>
      <w:r w:rsidR="00052832" w:rsidRPr="00E07AF3">
        <w:rPr>
          <w:sz w:val="20"/>
          <w:szCs w:val="20"/>
          <w:lang w:val="fr-FR"/>
        </w:rPr>
        <w:t xml:space="preserve">Email: </w:t>
      </w:r>
      <w:r>
        <w:rPr>
          <w:sz w:val="20"/>
          <w:szCs w:val="20"/>
          <w:lang w:val="fr-FR"/>
        </w:rPr>
        <w:t>k</w:t>
      </w:r>
      <w:r w:rsidR="004A4987" w:rsidRPr="00E07AF3">
        <w:rPr>
          <w:sz w:val="20"/>
          <w:szCs w:val="20"/>
          <w:lang w:val="fr-FR"/>
        </w:rPr>
        <w:t>enrossesq</w:t>
      </w:r>
      <w:r w:rsidR="00FD1970" w:rsidRPr="00E07AF3">
        <w:rPr>
          <w:sz w:val="20"/>
          <w:szCs w:val="20"/>
          <w:lang w:val="fr-FR"/>
        </w:rPr>
        <w:t>@</w:t>
      </w:r>
      <w:r>
        <w:rPr>
          <w:sz w:val="20"/>
          <w:szCs w:val="20"/>
          <w:lang w:val="fr-FR"/>
        </w:rPr>
        <w:t>gmail.com</w:t>
      </w:r>
    </w:p>
    <w:p w14:paraId="5DA62D77" w14:textId="77777777" w:rsidR="00052832" w:rsidRPr="00E07AF3" w:rsidRDefault="00052832">
      <w:pPr>
        <w:widowControl w:val="0"/>
        <w:tabs>
          <w:tab w:val="left" w:pos="300"/>
          <w:tab w:val="left" w:pos="657"/>
        </w:tabs>
        <w:spacing w:line="226" w:lineRule="exact"/>
        <w:ind w:left="300" w:hanging="300"/>
        <w:rPr>
          <w:rFonts w:ascii="Arial" w:hAnsi="Arial" w:cs="Arial"/>
          <w:sz w:val="20"/>
          <w:szCs w:val="20"/>
          <w:lang w:val="fr-FR"/>
        </w:rPr>
        <w:sectPr w:rsidR="00052832" w:rsidRPr="00E07AF3" w:rsidSect="00E63491">
          <w:type w:val="continuous"/>
          <w:pgSz w:w="12240" w:h="15840"/>
          <w:pgMar w:top="606" w:right="360" w:bottom="1128" w:left="1080" w:header="720" w:footer="300" w:gutter="0"/>
          <w:cols w:num="2" w:space="5220" w:equalWidth="0">
            <w:col w:w="2700" w:space="4770"/>
            <w:col w:w="3330"/>
          </w:cols>
          <w:noEndnote/>
        </w:sectPr>
      </w:pPr>
    </w:p>
    <w:p w14:paraId="4B2B0DEA" w14:textId="77777777" w:rsidR="00650234" w:rsidRDefault="00650234">
      <w:pPr>
        <w:pStyle w:val="Heading4"/>
        <w:rPr>
          <w:rFonts w:ascii="Palatino Linotype" w:hAnsi="Palatino Linotype" w:cs="Palatino Linotype"/>
          <w:sz w:val="22"/>
          <w:szCs w:val="22"/>
          <w:u w:val="none"/>
          <w:lang w:val="fr-FR"/>
        </w:rPr>
      </w:pPr>
    </w:p>
    <w:p w14:paraId="4DC1A21F" w14:textId="77777777" w:rsidR="001F7C36" w:rsidRDefault="001F7C36" w:rsidP="001F7C36">
      <w:pPr>
        <w:rPr>
          <w:lang w:val="fr-FR"/>
        </w:rPr>
      </w:pPr>
    </w:p>
    <w:p w14:paraId="1875707B" w14:textId="77777777" w:rsidR="009443B8" w:rsidRDefault="009443B8" w:rsidP="001F7C36">
      <w:pPr>
        <w:rPr>
          <w:lang w:val="fr-FR"/>
        </w:rPr>
      </w:pPr>
    </w:p>
    <w:p w14:paraId="6C68E3C4" w14:textId="77777777" w:rsidR="00052832" w:rsidRPr="00746717" w:rsidRDefault="00052832">
      <w:pPr>
        <w:pStyle w:val="Heading4"/>
        <w:rPr>
          <w:rFonts w:ascii="Arial" w:hAnsi="Arial" w:cs="Arial"/>
          <w:sz w:val="26"/>
          <w:szCs w:val="26"/>
          <w:u w:val="none"/>
        </w:rPr>
      </w:pPr>
      <w:r w:rsidRPr="00746717">
        <w:rPr>
          <w:rFonts w:ascii="Arial" w:hAnsi="Arial" w:cs="Arial"/>
          <w:sz w:val="26"/>
          <w:szCs w:val="26"/>
          <w:u w:val="none"/>
        </w:rPr>
        <w:t>Product Safety and Liability Prevention</w:t>
      </w:r>
    </w:p>
    <w:p w14:paraId="0EF6C22E" w14:textId="77777777" w:rsidR="00252631" w:rsidRPr="00746717" w:rsidRDefault="00B230B1" w:rsidP="0025263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46717">
        <w:rPr>
          <w:rFonts w:ascii="Arial" w:hAnsi="Arial" w:cs="Arial"/>
          <w:b/>
          <w:bCs/>
          <w:sz w:val="26"/>
          <w:szCs w:val="26"/>
        </w:rPr>
        <w:t xml:space="preserve">In-house </w:t>
      </w:r>
      <w:r w:rsidR="00252631" w:rsidRPr="00746717">
        <w:rPr>
          <w:rFonts w:ascii="Arial" w:hAnsi="Arial" w:cs="Arial"/>
          <w:b/>
          <w:bCs/>
          <w:sz w:val="26"/>
          <w:szCs w:val="26"/>
        </w:rPr>
        <w:t>Seminars</w:t>
      </w:r>
    </w:p>
    <w:p w14:paraId="2B840873" w14:textId="77777777" w:rsidR="00052832" w:rsidRPr="00746717" w:rsidRDefault="00405BEE">
      <w:pPr>
        <w:pStyle w:val="FootnoteText"/>
        <w:tabs>
          <w:tab w:val="left" w:pos="-720"/>
        </w:tabs>
        <w:suppressAutoHyphens/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A652C1" wp14:editId="1CC17FC5">
            <wp:simplePos x="0" y="0"/>
            <wp:positionH relativeFrom="column">
              <wp:posOffset>5296535</wp:posOffset>
            </wp:positionH>
            <wp:positionV relativeFrom="paragraph">
              <wp:posOffset>170815</wp:posOffset>
            </wp:positionV>
            <wp:extent cx="76771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03" y="21240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4DDED" w14:textId="77777777" w:rsidR="002C6AB7" w:rsidRPr="00746717" w:rsidRDefault="007C307E" w:rsidP="007C307E">
      <w:pPr>
        <w:tabs>
          <w:tab w:val="left" w:pos="-720"/>
        </w:tabs>
        <w:suppressAutoHyphens/>
        <w:rPr>
          <w:rFonts w:ascii="Arial" w:hAnsi="Arial" w:cs="Arial"/>
        </w:rPr>
      </w:pPr>
      <w:r w:rsidRPr="00746717">
        <w:rPr>
          <w:rFonts w:ascii="Arial" w:hAnsi="Arial" w:cs="Arial"/>
        </w:rPr>
        <w:t xml:space="preserve">Kenneth Ross is one </w:t>
      </w:r>
      <w:r w:rsidR="00B90FBF" w:rsidRPr="00746717">
        <w:rPr>
          <w:rFonts w:ascii="Arial" w:hAnsi="Arial" w:cs="Arial"/>
        </w:rPr>
        <w:t xml:space="preserve">of </w:t>
      </w:r>
      <w:r w:rsidRPr="00746717">
        <w:rPr>
          <w:rFonts w:ascii="Arial" w:hAnsi="Arial" w:cs="Arial"/>
        </w:rPr>
        <w:t>the world’s most experienced and well-known lawyers</w:t>
      </w:r>
      <w:r w:rsidR="00CA009F" w:rsidRPr="00746717">
        <w:rPr>
          <w:rFonts w:ascii="Arial" w:hAnsi="Arial" w:cs="Arial"/>
        </w:rPr>
        <w:t xml:space="preserve"> and consultants </w:t>
      </w:r>
      <w:r w:rsidRPr="00746717">
        <w:rPr>
          <w:rFonts w:ascii="Arial" w:hAnsi="Arial" w:cs="Arial"/>
        </w:rPr>
        <w:t xml:space="preserve">practicing in the areas of product safety, product liability prevention, and regulatory compliance.  </w:t>
      </w:r>
      <w:r w:rsidR="00692DB8" w:rsidRPr="00746717">
        <w:rPr>
          <w:rFonts w:ascii="Arial" w:hAnsi="Arial" w:cs="Arial"/>
        </w:rPr>
        <w:t xml:space="preserve">Prior to entering private practice, Ken was an in-house lawyer at Westinghouse Electric and Emerson Electric where he counseled on safety and prevention issues and managed litigation. </w:t>
      </w:r>
      <w:r w:rsidR="002C6AB7" w:rsidRPr="00746717">
        <w:rPr>
          <w:rFonts w:ascii="Arial" w:hAnsi="Arial" w:cs="Arial"/>
        </w:rPr>
        <w:t xml:space="preserve"> </w:t>
      </w:r>
    </w:p>
    <w:p w14:paraId="04027EC7" w14:textId="77777777" w:rsidR="002C6AB7" w:rsidRPr="00746717" w:rsidRDefault="002C6AB7" w:rsidP="007C307E">
      <w:pPr>
        <w:tabs>
          <w:tab w:val="left" w:pos="-720"/>
        </w:tabs>
        <w:suppressAutoHyphens/>
        <w:rPr>
          <w:rFonts w:ascii="Arial" w:hAnsi="Arial" w:cs="Arial"/>
        </w:rPr>
      </w:pPr>
    </w:p>
    <w:p w14:paraId="6EC65C2E" w14:textId="4AFEA602" w:rsidR="00727A08" w:rsidRPr="00746717" w:rsidRDefault="007C307E" w:rsidP="007C307E">
      <w:pPr>
        <w:tabs>
          <w:tab w:val="left" w:pos="-720"/>
        </w:tabs>
        <w:suppressAutoHyphens/>
        <w:rPr>
          <w:rFonts w:ascii="Arial" w:hAnsi="Arial" w:cs="Arial"/>
        </w:rPr>
      </w:pPr>
      <w:r w:rsidRPr="00746717">
        <w:rPr>
          <w:rFonts w:ascii="Arial" w:hAnsi="Arial" w:cs="Arial"/>
        </w:rPr>
        <w:t xml:space="preserve">He has been selected </w:t>
      </w:r>
      <w:r w:rsidR="00340892" w:rsidRPr="00746717">
        <w:rPr>
          <w:rFonts w:ascii="Arial" w:hAnsi="Arial" w:cs="Arial"/>
        </w:rPr>
        <w:t xml:space="preserve">for inclusion in </w:t>
      </w:r>
      <w:r w:rsidR="00E63491" w:rsidRPr="00E63491">
        <w:rPr>
          <w:rFonts w:ascii="Arial" w:hAnsi="Arial" w:cs="Arial"/>
          <w:i/>
        </w:rPr>
        <w:t>T</w:t>
      </w:r>
      <w:r w:rsidR="00340892" w:rsidRPr="00746717">
        <w:rPr>
          <w:rFonts w:ascii="Arial" w:hAnsi="Arial" w:cs="Arial"/>
          <w:i/>
          <w:iCs/>
        </w:rPr>
        <w:t xml:space="preserve">he International Who’s Who of Product Liability </w:t>
      </w:r>
      <w:r w:rsidR="00CC63F8" w:rsidRPr="00746717">
        <w:rPr>
          <w:rFonts w:ascii="Arial" w:hAnsi="Arial" w:cs="Arial"/>
          <w:i/>
          <w:iCs/>
        </w:rPr>
        <w:t xml:space="preserve">Defence </w:t>
      </w:r>
      <w:r w:rsidR="00340892" w:rsidRPr="00746717">
        <w:rPr>
          <w:rFonts w:ascii="Arial" w:hAnsi="Arial" w:cs="Arial"/>
          <w:i/>
          <w:iCs/>
        </w:rPr>
        <w:t xml:space="preserve">Lawyers </w:t>
      </w:r>
      <w:r w:rsidR="00E523FA">
        <w:rPr>
          <w:rFonts w:ascii="Arial" w:hAnsi="Arial" w:cs="Arial"/>
        </w:rPr>
        <w:t>every year since 2009 and</w:t>
      </w:r>
      <w:r w:rsidR="00340892" w:rsidRPr="00746717">
        <w:rPr>
          <w:rFonts w:ascii="Arial" w:hAnsi="Arial" w:cs="Arial"/>
        </w:rPr>
        <w:t xml:space="preserve"> has be</w:t>
      </w:r>
      <w:r w:rsidRPr="00746717">
        <w:rPr>
          <w:rFonts w:ascii="Arial" w:hAnsi="Arial" w:cs="Arial"/>
        </w:rPr>
        <w:t xml:space="preserve">en referred to </w:t>
      </w:r>
      <w:r w:rsidR="00172AA5" w:rsidRPr="00746717">
        <w:rPr>
          <w:rFonts w:ascii="Arial" w:hAnsi="Arial" w:cs="Arial"/>
        </w:rPr>
        <w:t xml:space="preserve">by the National Law Journal </w:t>
      </w:r>
      <w:r w:rsidRPr="00746717">
        <w:rPr>
          <w:rFonts w:ascii="Arial" w:hAnsi="Arial" w:cs="Arial"/>
        </w:rPr>
        <w:t xml:space="preserve">as </w:t>
      </w:r>
      <w:r w:rsidR="00650234" w:rsidRPr="00746717">
        <w:rPr>
          <w:rFonts w:ascii="Arial" w:hAnsi="Arial" w:cs="Arial"/>
        </w:rPr>
        <w:t>a</w:t>
      </w:r>
      <w:r w:rsidRPr="00746717">
        <w:rPr>
          <w:rFonts w:ascii="Arial" w:hAnsi="Arial" w:cs="Arial"/>
        </w:rPr>
        <w:t xml:space="preserve"> “preventive law pioneer.”  </w:t>
      </w:r>
    </w:p>
    <w:p w14:paraId="4ACB30E9" w14:textId="77777777" w:rsidR="00B07DF2" w:rsidRPr="00746717" w:rsidRDefault="00B07DF2">
      <w:pPr>
        <w:tabs>
          <w:tab w:val="left" w:pos="-720"/>
        </w:tabs>
        <w:suppressAutoHyphens/>
        <w:rPr>
          <w:rFonts w:ascii="Arial" w:hAnsi="Arial" w:cs="Arial"/>
        </w:rPr>
      </w:pPr>
    </w:p>
    <w:p w14:paraId="70202E09" w14:textId="77777777" w:rsidR="00052832" w:rsidRPr="00746717" w:rsidRDefault="00052832">
      <w:pPr>
        <w:tabs>
          <w:tab w:val="left" w:pos="-720"/>
        </w:tabs>
        <w:suppressAutoHyphens/>
        <w:rPr>
          <w:rFonts w:ascii="Arial" w:hAnsi="Arial" w:cs="Arial"/>
        </w:rPr>
      </w:pPr>
      <w:r w:rsidRPr="00746717">
        <w:rPr>
          <w:rFonts w:ascii="Arial" w:hAnsi="Arial" w:cs="Arial"/>
        </w:rPr>
        <w:t>In his safety and prevention practice, he advises U.S. and foreign</w:t>
      </w:r>
      <w:r w:rsidR="00650234" w:rsidRPr="00746717">
        <w:rPr>
          <w:rFonts w:ascii="Arial" w:hAnsi="Arial" w:cs="Arial"/>
        </w:rPr>
        <w:t xml:space="preserve"> </w:t>
      </w:r>
      <w:r w:rsidRPr="00746717">
        <w:rPr>
          <w:rFonts w:ascii="Arial" w:hAnsi="Arial" w:cs="Arial"/>
        </w:rPr>
        <w:t xml:space="preserve">manufacturers, product sellers, insurance brokers and insurance </w:t>
      </w:r>
      <w:r w:rsidR="005946DE" w:rsidRPr="00746717">
        <w:rPr>
          <w:rFonts w:ascii="Arial" w:hAnsi="Arial" w:cs="Arial"/>
        </w:rPr>
        <w:t>c</w:t>
      </w:r>
      <w:r w:rsidRPr="00746717">
        <w:rPr>
          <w:rFonts w:ascii="Arial" w:hAnsi="Arial" w:cs="Arial"/>
        </w:rPr>
        <w:t xml:space="preserve">ompanies on ways to </w:t>
      </w:r>
      <w:r w:rsidR="00B07DF2" w:rsidRPr="00746717">
        <w:rPr>
          <w:rFonts w:ascii="Arial" w:hAnsi="Arial" w:cs="Arial"/>
        </w:rPr>
        <w:t xml:space="preserve">identify, evaluate and </w:t>
      </w:r>
      <w:r w:rsidRPr="00746717">
        <w:rPr>
          <w:rFonts w:ascii="Arial" w:hAnsi="Arial" w:cs="Arial"/>
        </w:rPr>
        <w:t>minimize the risk of liability, especially product and contractual liability.  This advice is provided during product development as well as after sale</w:t>
      </w:r>
      <w:r w:rsidR="00204F6F" w:rsidRPr="00746717">
        <w:rPr>
          <w:rFonts w:ascii="Arial" w:hAnsi="Arial" w:cs="Arial"/>
        </w:rPr>
        <w:t xml:space="preserve"> and deal</w:t>
      </w:r>
      <w:r w:rsidR="00CA009F" w:rsidRPr="00746717">
        <w:rPr>
          <w:rFonts w:ascii="Arial" w:hAnsi="Arial" w:cs="Arial"/>
        </w:rPr>
        <w:t>s</w:t>
      </w:r>
      <w:r w:rsidR="00204F6F" w:rsidRPr="00746717">
        <w:rPr>
          <w:rFonts w:ascii="Arial" w:hAnsi="Arial" w:cs="Arial"/>
        </w:rPr>
        <w:t xml:space="preserve"> with product safety management systems, design, warnings and instructions, post-sale responsibilities including reporting to the government and undertaking recalls, document management, contracts, marketing, and litigation management.  </w:t>
      </w:r>
      <w:r w:rsidRPr="00746717">
        <w:rPr>
          <w:rFonts w:ascii="Arial" w:hAnsi="Arial" w:cs="Arial"/>
        </w:rPr>
        <w:t xml:space="preserve">  </w:t>
      </w:r>
    </w:p>
    <w:p w14:paraId="1D9315D8" w14:textId="77777777" w:rsidR="003F110C" w:rsidRPr="00746717" w:rsidRDefault="003F110C">
      <w:pPr>
        <w:tabs>
          <w:tab w:val="left" w:pos="-720"/>
        </w:tabs>
        <w:suppressAutoHyphens/>
        <w:rPr>
          <w:rFonts w:ascii="Arial" w:hAnsi="Arial" w:cs="Arial"/>
        </w:rPr>
      </w:pPr>
    </w:p>
    <w:p w14:paraId="2EB9BBA3" w14:textId="77777777" w:rsidR="00204F6F" w:rsidRPr="00746717" w:rsidRDefault="00204F6F">
      <w:pPr>
        <w:pStyle w:val="BodyText2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Ken has been presenting seminars on product safety and product liability since 1976.  First, he started teaching these subjects to Westinghouse engineers.  Then, starting in 197</w:t>
      </w:r>
      <w:r w:rsidR="00AD69AC" w:rsidRPr="00746717">
        <w:rPr>
          <w:rFonts w:ascii="Arial" w:hAnsi="Arial" w:cs="Arial"/>
          <w:sz w:val="24"/>
          <w:szCs w:val="24"/>
        </w:rPr>
        <w:t>8</w:t>
      </w:r>
      <w:r w:rsidRPr="00746717">
        <w:rPr>
          <w:rFonts w:ascii="Arial" w:hAnsi="Arial" w:cs="Arial"/>
          <w:sz w:val="24"/>
          <w:szCs w:val="24"/>
        </w:rPr>
        <w:t xml:space="preserve">, he created and chaired a </w:t>
      </w:r>
      <w:r w:rsidR="009054C8" w:rsidRPr="00746717">
        <w:rPr>
          <w:rFonts w:ascii="Arial" w:hAnsi="Arial" w:cs="Arial"/>
          <w:sz w:val="24"/>
          <w:szCs w:val="24"/>
        </w:rPr>
        <w:t xml:space="preserve">public </w:t>
      </w:r>
      <w:r w:rsidRPr="00746717">
        <w:rPr>
          <w:rFonts w:ascii="Arial" w:hAnsi="Arial" w:cs="Arial"/>
          <w:sz w:val="24"/>
          <w:szCs w:val="24"/>
        </w:rPr>
        <w:t xml:space="preserve">product liability prevention course </w:t>
      </w:r>
      <w:r w:rsidR="00AD69AC" w:rsidRPr="00746717">
        <w:rPr>
          <w:rFonts w:ascii="Arial" w:hAnsi="Arial" w:cs="Arial"/>
          <w:sz w:val="24"/>
          <w:szCs w:val="24"/>
        </w:rPr>
        <w:t xml:space="preserve">intended for lawyers.  </w:t>
      </w:r>
      <w:r w:rsidR="00CA009F" w:rsidRPr="00746717">
        <w:rPr>
          <w:rFonts w:ascii="Arial" w:hAnsi="Arial" w:cs="Arial"/>
          <w:sz w:val="24"/>
          <w:szCs w:val="24"/>
        </w:rPr>
        <w:t xml:space="preserve">  </w:t>
      </w:r>
      <w:r w:rsidRPr="00746717">
        <w:rPr>
          <w:rFonts w:ascii="Arial" w:hAnsi="Arial" w:cs="Arial"/>
          <w:sz w:val="24"/>
          <w:szCs w:val="24"/>
        </w:rPr>
        <w:t xml:space="preserve">  </w:t>
      </w:r>
    </w:p>
    <w:p w14:paraId="26603096" w14:textId="77777777" w:rsidR="00204F6F" w:rsidRPr="00746717" w:rsidRDefault="00204F6F">
      <w:pPr>
        <w:pStyle w:val="BodyText2"/>
        <w:rPr>
          <w:rFonts w:ascii="Arial" w:hAnsi="Arial" w:cs="Arial"/>
          <w:sz w:val="24"/>
          <w:szCs w:val="24"/>
        </w:rPr>
      </w:pPr>
    </w:p>
    <w:p w14:paraId="5334B233" w14:textId="77777777" w:rsidR="00126F26" w:rsidRPr="00746717" w:rsidRDefault="00CA009F">
      <w:pPr>
        <w:pStyle w:val="BodyText2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H</w:t>
      </w:r>
      <w:r w:rsidR="00204F6F" w:rsidRPr="00746717">
        <w:rPr>
          <w:rFonts w:ascii="Arial" w:hAnsi="Arial" w:cs="Arial"/>
          <w:sz w:val="24"/>
          <w:szCs w:val="24"/>
        </w:rPr>
        <w:t xml:space="preserve">e has presented hundreds of </w:t>
      </w:r>
      <w:r w:rsidRPr="00746717">
        <w:rPr>
          <w:rFonts w:ascii="Arial" w:hAnsi="Arial" w:cs="Arial"/>
          <w:sz w:val="24"/>
          <w:szCs w:val="24"/>
        </w:rPr>
        <w:t xml:space="preserve">public and private in-house </w:t>
      </w:r>
      <w:r w:rsidR="00204F6F" w:rsidRPr="00746717">
        <w:rPr>
          <w:rFonts w:ascii="Arial" w:hAnsi="Arial" w:cs="Arial"/>
          <w:sz w:val="24"/>
          <w:szCs w:val="24"/>
        </w:rPr>
        <w:t xml:space="preserve">seminars over the last 30 years in the U.S., </w:t>
      </w:r>
      <w:r w:rsidRPr="00746717">
        <w:rPr>
          <w:rFonts w:ascii="Arial" w:hAnsi="Arial" w:cs="Arial"/>
          <w:sz w:val="24"/>
          <w:szCs w:val="24"/>
        </w:rPr>
        <w:t xml:space="preserve">Canada, </w:t>
      </w:r>
      <w:r w:rsidR="00204F6F" w:rsidRPr="00746717">
        <w:rPr>
          <w:rFonts w:ascii="Arial" w:hAnsi="Arial" w:cs="Arial"/>
          <w:sz w:val="24"/>
          <w:szCs w:val="24"/>
        </w:rPr>
        <w:t xml:space="preserve">Asia, Latin America, and Europe for business persons, engineers, lawyers, and insurance company personnel.  </w:t>
      </w:r>
      <w:r w:rsidRPr="00746717">
        <w:rPr>
          <w:rFonts w:ascii="Arial" w:hAnsi="Arial" w:cs="Arial"/>
          <w:sz w:val="24"/>
          <w:szCs w:val="24"/>
        </w:rPr>
        <w:t>Ken has the ability to combine an understandable discussion of product liability and regulatory law with a practical discussion of safety and p</w:t>
      </w:r>
      <w:r w:rsidR="009054C8" w:rsidRPr="00746717">
        <w:rPr>
          <w:rFonts w:ascii="Arial" w:hAnsi="Arial" w:cs="Arial"/>
          <w:sz w:val="24"/>
          <w:szCs w:val="24"/>
        </w:rPr>
        <w:t xml:space="preserve">revention techniques and how a particular company can </w:t>
      </w:r>
      <w:r w:rsidRPr="00746717">
        <w:rPr>
          <w:rFonts w:ascii="Arial" w:hAnsi="Arial" w:cs="Arial"/>
          <w:sz w:val="24"/>
          <w:szCs w:val="24"/>
        </w:rPr>
        <w:t xml:space="preserve">determine what is </w:t>
      </w:r>
      <w:r w:rsidR="009054C8" w:rsidRPr="00746717">
        <w:rPr>
          <w:rFonts w:ascii="Arial" w:hAnsi="Arial" w:cs="Arial"/>
          <w:sz w:val="24"/>
          <w:szCs w:val="24"/>
        </w:rPr>
        <w:t xml:space="preserve">appropriate for them </w:t>
      </w:r>
      <w:r w:rsidRPr="00746717">
        <w:rPr>
          <w:rFonts w:ascii="Arial" w:hAnsi="Arial" w:cs="Arial"/>
          <w:sz w:val="24"/>
          <w:szCs w:val="24"/>
        </w:rPr>
        <w:t>to do.</w:t>
      </w:r>
      <w:r w:rsidR="00692DB8" w:rsidRPr="00746717">
        <w:rPr>
          <w:rFonts w:ascii="Arial" w:hAnsi="Arial" w:cs="Arial"/>
          <w:sz w:val="24"/>
          <w:szCs w:val="24"/>
        </w:rPr>
        <w:t xml:space="preserve">  </w:t>
      </w:r>
      <w:r w:rsidR="00126F26" w:rsidRPr="00746717">
        <w:rPr>
          <w:rFonts w:ascii="Arial" w:hAnsi="Arial" w:cs="Arial"/>
          <w:sz w:val="24"/>
          <w:szCs w:val="24"/>
        </w:rPr>
        <w:t>In addition, Ken has written extensively on these subjects</w:t>
      </w:r>
      <w:r w:rsidR="00B230B1" w:rsidRPr="00746717">
        <w:rPr>
          <w:rFonts w:ascii="Arial" w:hAnsi="Arial" w:cs="Arial"/>
          <w:sz w:val="24"/>
          <w:szCs w:val="24"/>
        </w:rPr>
        <w:t xml:space="preserve"> (</w:t>
      </w:r>
      <w:r w:rsidR="00232933" w:rsidRPr="00746717">
        <w:rPr>
          <w:rFonts w:ascii="Arial" w:hAnsi="Arial" w:cs="Arial"/>
          <w:sz w:val="24"/>
          <w:szCs w:val="24"/>
        </w:rPr>
        <w:t xml:space="preserve">see </w:t>
      </w:r>
      <w:hyperlink r:id="rId10" w:history="1">
        <w:r w:rsidR="00126F26" w:rsidRPr="00746717">
          <w:rPr>
            <w:rStyle w:val="Hyperlink"/>
            <w:rFonts w:ascii="Arial" w:hAnsi="Arial" w:cs="Arial"/>
            <w:sz w:val="24"/>
            <w:szCs w:val="24"/>
          </w:rPr>
          <w:t>www.productliabilityprevention.com</w:t>
        </w:r>
      </w:hyperlink>
      <w:r w:rsidR="00B230B1" w:rsidRPr="00746717">
        <w:rPr>
          <w:rFonts w:ascii="Arial" w:hAnsi="Arial" w:cs="Arial"/>
          <w:sz w:val="24"/>
          <w:szCs w:val="24"/>
        </w:rPr>
        <w:t xml:space="preserve"> for his recent writings).</w:t>
      </w:r>
      <w:r w:rsidR="00126F26" w:rsidRPr="00746717">
        <w:rPr>
          <w:rFonts w:ascii="Arial" w:hAnsi="Arial" w:cs="Arial"/>
          <w:sz w:val="24"/>
          <w:szCs w:val="24"/>
        </w:rPr>
        <w:t xml:space="preserve">    </w:t>
      </w:r>
    </w:p>
    <w:p w14:paraId="27A521D9" w14:textId="77777777" w:rsidR="00252631" w:rsidRPr="00746717" w:rsidRDefault="00252631">
      <w:pPr>
        <w:pStyle w:val="BodyText2"/>
        <w:rPr>
          <w:rFonts w:ascii="Arial" w:hAnsi="Arial" w:cs="Arial"/>
          <w:sz w:val="24"/>
          <w:szCs w:val="24"/>
        </w:rPr>
      </w:pPr>
    </w:p>
    <w:p w14:paraId="05105B13" w14:textId="77777777" w:rsidR="00727A08" w:rsidRPr="00746717" w:rsidRDefault="00204F6F">
      <w:pPr>
        <w:pStyle w:val="BodyText2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lastRenderedPageBreak/>
        <w:t xml:space="preserve">Ken has developed half-day and full-day </w:t>
      </w:r>
      <w:r w:rsidR="00AD69AC" w:rsidRPr="00746717">
        <w:rPr>
          <w:rFonts w:ascii="Arial" w:hAnsi="Arial" w:cs="Arial"/>
          <w:sz w:val="24"/>
          <w:szCs w:val="24"/>
        </w:rPr>
        <w:t xml:space="preserve">in-house </w:t>
      </w:r>
      <w:r w:rsidRPr="00746717">
        <w:rPr>
          <w:rFonts w:ascii="Arial" w:hAnsi="Arial" w:cs="Arial"/>
          <w:sz w:val="24"/>
          <w:szCs w:val="24"/>
        </w:rPr>
        <w:t>seminars that are an excellent introduction to the subjects in which he consults.  The</w:t>
      </w:r>
      <w:r w:rsidR="00CA009F" w:rsidRPr="00746717">
        <w:rPr>
          <w:rFonts w:ascii="Arial" w:hAnsi="Arial" w:cs="Arial"/>
          <w:sz w:val="24"/>
          <w:szCs w:val="24"/>
        </w:rPr>
        <w:t>se</w:t>
      </w:r>
      <w:r w:rsidRPr="00746717">
        <w:rPr>
          <w:rFonts w:ascii="Arial" w:hAnsi="Arial" w:cs="Arial"/>
          <w:sz w:val="24"/>
          <w:szCs w:val="24"/>
        </w:rPr>
        <w:t xml:space="preserve"> </w:t>
      </w:r>
      <w:r w:rsidR="00727A08" w:rsidRPr="00746717">
        <w:rPr>
          <w:rFonts w:ascii="Arial" w:hAnsi="Arial" w:cs="Arial"/>
          <w:sz w:val="24"/>
          <w:szCs w:val="24"/>
        </w:rPr>
        <w:t xml:space="preserve">in-house seminars, when compared to 2-day public seminars, </w:t>
      </w:r>
      <w:r w:rsidR="00EF3CD1" w:rsidRPr="00746717">
        <w:rPr>
          <w:rFonts w:ascii="Arial" w:hAnsi="Arial" w:cs="Arial"/>
          <w:sz w:val="24"/>
          <w:szCs w:val="24"/>
        </w:rPr>
        <w:t>have some distinct advantages</w:t>
      </w:r>
      <w:r w:rsidR="00727A08" w:rsidRPr="00746717">
        <w:rPr>
          <w:rFonts w:ascii="Arial" w:hAnsi="Arial" w:cs="Arial"/>
          <w:sz w:val="24"/>
          <w:szCs w:val="24"/>
        </w:rPr>
        <w:t>:</w:t>
      </w:r>
    </w:p>
    <w:p w14:paraId="5F82A830" w14:textId="77777777" w:rsidR="00727A08" w:rsidRPr="00746717" w:rsidRDefault="00727A08">
      <w:pPr>
        <w:pStyle w:val="BodyText2"/>
        <w:rPr>
          <w:rFonts w:ascii="Arial" w:hAnsi="Arial" w:cs="Arial"/>
          <w:sz w:val="24"/>
          <w:szCs w:val="24"/>
        </w:rPr>
      </w:pPr>
    </w:p>
    <w:p w14:paraId="327B33CC" w14:textId="77777777" w:rsidR="00727A08" w:rsidRPr="00746717" w:rsidRDefault="00727A08" w:rsidP="00AF22B5">
      <w:pPr>
        <w:pStyle w:val="BodyText2"/>
        <w:numPr>
          <w:ilvl w:val="0"/>
          <w:numId w:val="8"/>
        </w:numPr>
        <w:ind w:right="1054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They can be customized to the particular company</w:t>
      </w:r>
      <w:r w:rsidR="00A504C0" w:rsidRPr="00746717">
        <w:rPr>
          <w:rFonts w:ascii="Arial" w:hAnsi="Arial" w:cs="Arial"/>
          <w:sz w:val="24"/>
          <w:szCs w:val="24"/>
        </w:rPr>
        <w:t>, industry, products</w:t>
      </w:r>
      <w:r w:rsidR="00B230B1" w:rsidRPr="00746717">
        <w:rPr>
          <w:rFonts w:ascii="Arial" w:hAnsi="Arial" w:cs="Arial"/>
          <w:sz w:val="24"/>
          <w:szCs w:val="24"/>
        </w:rPr>
        <w:t>,</w:t>
      </w:r>
      <w:r w:rsidR="00A504C0" w:rsidRPr="00746717">
        <w:rPr>
          <w:rFonts w:ascii="Arial" w:hAnsi="Arial" w:cs="Arial"/>
          <w:sz w:val="24"/>
          <w:szCs w:val="24"/>
        </w:rPr>
        <w:t xml:space="preserve"> risk profile</w:t>
      </w:r>
      <w:r w:rsidR="00B230B1" w:rsidRPr="00746717">
        <w:rPr>
          <w:rFonts w:ascii="Arial" w:hAnsi="Arial" w:cs="Arial"/>
          <w:sz w:val="24"/>
          <w:szCs w:val="24"/>
        </w:rPr>
        <w:t>, and subjects of interest to the company</w:t>
      </w:r>
    </w:p>
    <w:p w14:paraId="3B7EE457" w14:textId="77777777" w:rsidR="00727A08" w:rsidRPr="00746717" w:rsidRDefault="00727A08" w:rsidP="00AF22B5">
      <w:pPr>
        <w:pStyle w:val="BodyText2"/>
        <w:numPr>
          <w:ilvl w:val="0"/>
          <w:numId w:val="8"/>
        </w:numPr>
        <w:ind w:right="1054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The discussions are private, allowing a more in-depth discussion of confidential information and sensitive questions</w:t>
      </w:r>
    </w:p>
    <w:p w14:paraId="0E0A9F2C" w14:textId="77777777" w:rsidR="00CA009F" w:rsidRPr="00746717" w:rsidRDefault="00CA009F" w:rsidP="00AF22B5">
      <w:pPr>
        <w:pStyle w:val="BodyText2"/>
        <w:numPr>
          <w:ilvl w:val="0"/>
          <w:numId w:val="8"/>
        </w:numPr>
        <w:ind w:right="1054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The number of attendees is unlimited</w:t>
      </w:r>
    </w:p>
    <w:p w14:paraId="48890BFD" w14:textId="77777777" w:rsidR="00252631" w:rsidRPr="00746717" w:rsidRDefault="00B230B1" w:rsidP="00AF22B5">
      <w:pPr>
        <w:pStyle w:val="BodyText2"/>
        <w:numPr>
          <w:ilvl w:val="0"/>
          <w:numId w:val="8"/>
        </w:numPr>
        <w:ind w:right="1054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M</w:t>
      </w:r>
      <w:r w:rsidR="00727A08" w:rsidRPr="00746717">
        <w:rPr>
          <w:rFonts w:ascii="Arial" w:hAnsi="Arial" w:cs="Arial"/>
          <w:sz w:val="24"/>
          <w:szCs w:val="24"/>
        </w:rPr>
        <w:t>ore cost-effective when 3 or more company personnel</w:t>
      </w:r>
      <w:r w:rsidRPr="00746717">
        <w:rPr>
          <w:rFonts w:ascii="Arial" w:hAnsi="Arial" w:cs="Arial"/>
          <w:sz w:val="24"/>
          <w:szCs w:val="24"/>
        </w:rPr>
        <w:t xml:space="preserve"> attend</w:t>
      </w:r>
    </w:p>
    <w:p w14:paraId="4C9DBACE" w14:textId="77777777" w:rsidR="00727A08" w:rsidRPr="00746717" w:rsidRDefault="00727A08" w:rsidP="00AF22B5">
      <w:pPr>
        <w:pStyle w:val="BodyText2"/>
        <w:numPr>
          <w:ilvl w:val="0"/>
          <w:numId w:val="8"/>
        </w:numPr>
        <w:ind w:right="1054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They take less time away from the job</w:t>
      </w:r>
    </w:p>
    <w:p w14:paraId="5A145F21" w14:textId="77777777" w:rsidR="00A504C0" w:rsidRPr="00746717" w:rsidRDefault="00A504C0" w:rsidP="00AF22B5">
      <w:pPr>
        <w:pStyle w:val="BodyText2"/>
        <w:numPr>
          <w:ilvl w:val="0"/>
          <w:numId w:val="8"/>
        </w:numPr>
        <w:ind w:right="1054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By allowing many different departments to attend the same seminar, lines of communication between these departments will be enhanced and personnel will have a better understanding of what others do and how departments can work together to enhance product safety and minimize product liability risk</w:t>
      </w:r>
    </w:p>
    <w:p w14:paraId="5A925D36" w14:textId="77777777" w:rsidR="00727A08" w:rsidRPr="00746717" w:rsidRDefault="00727A08" w:rsidP="00AF22B5">
      <w:pPr>
        <w:pStyle w:val="BodyText2"/>
        <w:numPr>
          <w:ilvl w:val="0"/>
          <w:numId w:val="8"/>
        </w:numPr>
        <w:ind w:right="1054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 xml:space="preserve">Follow-up questions after the seminar </w:t>
      </w:r>
      <w:r w:rsidR="00E7082E" w:rsidRPr="00746717">
        <w:rPr>
          <w:rFonts w:ascii="Arial" w:hAnsi="Arial" w:cs="Arial"/>
          <w:sz w:val="24"/>
          <w:szCs w:val="24"/>
        </w:rPr>
        <w:t xml:space="preserve">will be answered by Ken </w:t>
      </w:r>
      <w:r w:rsidR="00232933" w:rsidRPr="00746717">
        <w:rPr>
          <w:rFonts w:ascii="Arial" w:hAnsi="Arial" w:cs="Arial"/>
          <w:sz w:val="24"/>
          <w:szCs w:val="24"/>
        </w:rPr>
        <w:t>at</w:t>
      </w:r>
      <w:r w:rsidR="00E7082E" w:rsidRPr="00746717">
        <w:rPr>
          <w:rFonts w:ascii="Arial" w:hAnsi="Arial" w:cs="Arial"/>
          <w:sz w:val="24"/>
          <w:szCs w:val="24"/>
        </w:rPr>
        <w:t xml:space="preserve"> no additional </w:t>
      </w:r>
      <w:r w:rsidR="00232933" w:rsidRPr="00746717">
        <w:rPr>
          <w:rFonts w:ascii="Arial" w:hAnsi="Arial" w:cs="Arial"/>
          <w:sz w:val="24"/>
          <w:szCs w:val="24"/>
        </w:rPr>
        <w:t>cost</w:t>
      </w:r>
    </w:p>
    <w:p w14:paraId="3C0ED3DC" w14:textId="77777777" w:rsidR="00727A08" w:rsidRPr="00746717" w:rsidRDefault="00727A08" w:rsidP="00727A08">
      <w:pPr>
        <w:pStyle w:val="BodyText2"/>
        <w:rPr>
          <w:rFonts w:ascii="Arial" w:hAnsi="Arial" w:cs="Arial"/>
          <w:sz w:val="24"/>
          <w:szCs w:val="24"/>
        </w:rPr>
      </w:pPr>
    </w:p>
    <w:p w14:paraId="1FE26056" w14:textId="77777777" w:rsidR="00727A08" w:rsidRPr="00746717" w:rsidRDefault="00727A08" w:rsidP="00727A08">
      <w:pPr>
        <w:pStyle w:val="BodyText2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>Below is a sample agenda for a half-day program:</w:t>
      </w:r>
    </w:p>
    <w:p w14:paraId="4A968CAC" w14:textId="77777777" w:rsidR="00727A08" w:rsidRPr="00746717" w:rsidRDefault="00727A08" w:rsidP="00727A08">
      <w:pPr>
        <w:pStyle w:val="BodyText2"/>
        <w:rPr>
          <w:rFonts w:ascii="Arial" w:hAnsi="Arial" w:cs="Arial"/>
          <w:sz w:val="24"/>
          <w:szCs w:val="24"/>
        </w:rPr>
      </w:pPr>
    </w:p>
    <w:tbl>
      <w:tblPr>
        <w:tblW w:w="777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68"/>
        <w:gridCol w:w="7308"/>
      </w:tblGrid>
      <w:tr w:rsidR="00727A08" w:rsidRPr="00746717" w14:paraId="61520D78" w14:textId="77777777">
        <w:tc>
          <w:tcPr>
            <w:tcW w:w="468" w:type="dxa"/>
          </w:tcPr>
          <w:p w14:paraId="0C9F7CA0" w14:textId="77777777" w:rsidR="00727A08" w:rsidRPr="00746717" w:rsidRDefault="00727A08" w:rsidP="007721EF">
            <w:pPr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5D7CCD4E" w14:textId="77777777" w:rsidR="00727A08" w:rsidRPr="00746717" w:rsidRDefault="00727A08" w:rsidP="00FB7496">
            <w:pPr>
              <w:ind w:left="-108" w:right="720"/>
              <w:rPr>
                <w:rFonts w:ascii="Arial" w:hAnsi="Arial" w:cs="Arial"/>
                <w:b/>
                <w:bCs/>
              </w:rPr>
            </w:pPr>
            <w:r w:rsidRPr="00746717">
              <w:rPr>
                <w:rFonts w:ascii="Arial" w:hAnsi="Arial" w:cs="Arial"/>
                <w:b/>
                <w:bCs/>
              </w:rPr>
              <w:t xml:space="preserve">Introduction to Product Liability and Product Safety Management </w:t>
            </w:r>
          </w:p>
          <w:p w14:paraId="17DD189B" w14:textId="77777777" w:rsidR="00727A08" w:rsidRPr="00746717" w:rsidRDefault="00727A08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>Legal requirements</w:t>
            </w:r>
          </w:p>
          <w:p w14:paraId="1805C209" w14:textId="77777777" w:rsidR="00727A08" w:rsidRPr="00746717" w:rsidRDefault="00727A08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>Policies, procedures and personnel</w:t>
            </w:r>
          </w:p>
          <w:p w14:paraId="2FF190F0" w14:textId="77777777" w:rsidR="00727A08" w:rsidRPr="00746717" w:rsidRDefault="00727A08" w:rsidP="00FB7496">
            <w:pPr>
              <w:autoSpaceDE/>
              <w:autoSpaceDN/>
              <w:ind w:left="-108" w:right="720"/>
              <w:rPr>
                <w:rFonts w:ascii="Arial" w:hAnsi="Arial" w:cs="Arial"/>
              </w:rPr>
            </w:pPr>
          </w:p>
        </w:tc>
      </w:tr>
      <w:tr w:rsidR="00727A08" w:rsidRPr="00746717" w14:paraId="6C482897" w14:textId="77777777">
        <w:tc>
          <w:tcPr>
            <w:tcW w:w="468" w:type="dxa"/>
          </w:tcPr>
          <w:p w14:paraId="23DB9CF9" w14:textId="77777777" w:rsidR="00727A08" w:rsidRPr="00746717" w:rsidRDefault="00727A08" w:rsidP="007721EF">
            <w:pPr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3B21B0E8" w14:textId="77777777" w:rsidR="00727A08" w:rsidRPr="00746717" w:rsidRDefault="00AD69AC" w:rsidP="00FB7496">
            <w:pPr>
              <w:ind w:left="-108" w:right="720"/>
              <w:rPr>
                <w:rFonts w:ascii="Arial" w:hAnsi="Arial" w:cs="Arial"/>
                <w:b/>
                <w:bCs/>
              </w:rPr>
            </w:pPr>
            <w:r w:rsidRPr="00746717">
              <w:rPr>
                <w:rFonts w:ascii="Arial" w:hAnsi="Arial" w:cs="Arial"/>
                <w:b/>
                <w:bCs/>
              </w:rPr>
              <w:t xml:space="preserve">Design, </w:t>
            </w:r>
            <w:r w:rsidR="00727A08" w:rsidRPr="00746717">
              <w:rPr>
                <w:rFonts w:ascii="Arial" w:hAnsi="Arial" w:cs="Arial"/>
                <w:b/>
                <w:bCs/>
              </w:rPr>
              <w:t>Warnings</w:t>
            </w:r>
            <w:r w:rsidRPr="00746717">
              <w:rPr>
                <w:rFonts w:ascii="Arial" w:hAnsi="Arial" w:cs="Arial"/>
                <w:b/>
                <w:bCs/>
              </w:rPr>
              <w:t xml:space="preserve">, </w:t>
            </w:r>
            <w:r w:rsidR="00727A08" w:rsidRPr="00746717">
              <w:rPr>
                <w:rFonts w:ascii="Arial" w:hAnsi="Arial" w:cs="Arial"/>
                <w:b/>
                <w:bCs/>
              </w:rPr>
              <w:t xml:space="preserve">Instructions and </w:t>
            </w:r>
            <w:r w:rsidRPr="00746717">
              <w:rPr>
                <w:rFonts w:ascii="Arial" w:hAnsi="Arial" w:cs="Arial"/>
                <w:b/>
                <w:bCs/>
              </w:rPr>
              <w:t>Marketing</w:t>
            </w:r>
          </w:p>
          <w:p w14:paraId="168C93D1" w14:textId="77777777" w:rsidR="00727A08" w:rsidRPr="00746717" w:rsidRDefault="00727A08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>Legal requirements</w:t>
            </w:r>
          </w:p>
          <w:p w14:paraId="2A0F831B" w14:textId="77777777" w:rsidR="00AD69AC" w:rsidRPr="00746717" w:rsidRDefault="00AD69AC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>Risk assessment and design issues</w:t>
            </w:r>
          </w:p>
          <w:p w14:paraId="302575E8" w14:textId="77777777" w:rsidR="00727A08" w:rsidRPr="00746717" w:rsidRDefault="00727A08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>Standards</w:t>
            </w:r>
            <w:r w:rsidR="00AD69AC" w:rsidRPr="00746717">
              <w:rPr>
                <w:rFonts w:ascii="Arial" w:hAnsi="Arial" w:cs="Arial"/>
              </w:rPr>
              <w:t xml:space="preserve"> for design, warnings and instructions</w:t>
            </w:r>
          </w:p>
          <w:p w14:paraId="2829099E" w14:textId="77777777" w:rsidR="00E7082E" w:rsidRPr="00746717" w:rsidRDefault="00E7082E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>Creating adequate design, warnings, and instru</w:t>
            </w:r>
            <w:r w:rsidR="00126F26" w:rsidRPr="00746717">
              <w:rPr>
                <w:rFonts w:ascii="Arial" w:hAnsi="Arial" w:cs="Arial"/>
              </w:rPr>
              <w:t>c</w:t>
            </w:r>
            <w:r w:rsidRPr="00746717">
              <w:rPr>
                <w:rFonts w:ascii="Arial" w:hAnsi="Arial" w:cs="Arial"/>
              </w:rPr>
              <w:t>tions</w:t>
            </w:r>
          </w:p>
          <w:p w14:paraId="4962BF0D" w14:textId="77777777" w:rsidR="00727A08" w:rsidRPr="00746717" w:rsidRDefault="00727A08" w:rsidP="00FB7496">
            <w:pPr>
              <w:ind w:left="-108" w:right="720"/>
              <w:rPr>
                <w:rFonts w:ascii="Arial" w:hAnsi="Arial" w:cs="Arial"/>
              </w:rPr>
            </w:pPr>
          </w:p>
        </w:tc>
      </w:tr>
      <w:tr w:rsidR="00727A08" w:rsidRPr="00746717" w14:paraId="5E3DF546" w14:textId="77777777">
        <w:tc>
          <w:tcPr>
            <w:tcW w:w="468" w:type="dxa"/>
          </w:tcPr>
          <w:p w14:paraId="274A2503" w14:textId="77777777" w:rsidR="00727A08" w:rsidRPr="00746717" w:rsidRDefault="00727A08" w:rsidP="007721EF">
            <w:pPr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627ABD2E" w14:textId="77777777" w:rsidR="00727A08" w:rsidRPr="00746717" w:rsidRDefault="00727A08" w:rsidP="00FB7496">
            <w:pPr>
              <w:ind w:left="-108" w:right="720"/>
              <w:rPr>
                <w:rFonts w:ascii="Arial" w:hAnsi="Arial" w:cs="Arial"/>
                <w:b/>
                <w:bCs/>
              </w:rPr>
            </w:pPr>
            <w:r w:rsidRPr="00746717">
              <w:rPr>
                <w:rFonts w:ascii="Arial" w:hAnsi="Arial" w:cs="Arial"/>
                <w:b/>
                <w:bCs/>
              </w:rPr>
              <w:t>Post-Sale Duties</w:t>
            </w:r>
          </w:p>
          <w:p w14:paraId="19B8666E" w14:textId="77777777" w:rsidR="00727A08" w:rsidRPr="00746717" w:rsidRDefault="00727A08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 xml:space="preserve">Legal requirements </w:t>
            </w:r>
          </w:p>
          <w:p w14:paraId="523E3FD5" w14:textId="77777777" w:rsidR="00727A08" w:rsidRPr="00746717" w:rsidRDefault="00727A08" w:rsidP="00FB7496">
            <w:pPr>
              <w:numPr>
                <w:ilvl w:val="0"/>
                <w:numId w:val="9"/>
              </w:numPr>
              <w:autoSpaceDE/>
              <w:autoSpaceDN/>
              <w:ind w:left="-108" w:right="720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>Government requirements</w:t>
            </w:r>
          </w:p>
          <w:p w14:paraId="3923BF39" w14:textId="77777777" w:rsidR="00727A08" w:rsidRPr="00746717" w:rsidRDefault="00727A08" w:rsidP="00746717">
            <w:pPr>
              <w:numPr>
                <w:ilvl w:val="0"/>
                <w:numId w:val="9"/>
              </w:numPr>
              <w:autoSpaceDE/>
              <w:autoSpaceDN/>
              <w:ind w:left="-108" w:firstLine="0"/>
              <w:rPr>
                <w:rFonts w:ascii="Arial" w:hAnsi="Arial" w:cs="Arial"/>
              </w:rPr>
            </w:pPr>
            <w:r w:rsidRPr="00746717">
              <w:rPr>
                <w:rFonts w:ascii="Arial" w:hAnsi="Arial" w:cs="Arial"/>
              </w:rPr>
              <w:t xml:space="preserve">Implementing appropriate proactive and reactive </w:t>
            </w:r>
            <w:r w:rsidR="00746717">
              <w:rPr>
                <w:rFonts w:ascii="Arial" w:hAnsi="Arial" w:cs="Arial"/>
              </w:rPr>
              <w:t>p</w:t>
            </w:r>
            <w:r w:rsidRPr="00746717">
              <w:rPr>
                <w:rFonts w:ascii="Arial" w:hAnsi="Arial" w:cs="Arial"/>
              </w:rPr>
              <w:t>rograms</w:t>
            </w:r>
          </w:p>
          <w:p w14:paraId="2B6BB650" w14:textId="77777777" w:rsidR="00727A08" w:rsidRPr="00746717" w:rsidRDefault="00727A08" w:rsidP="00FB7496">
            <w:pPr>
              <w:ind w:left="-108" w:right="720"/>
              <w:rPr>
                <w:rFonts w:ascii="Arial" w:hAnsi="Arial" w:cs="Arial"/>
              </w:rPr>
            </w:pPr>
          </w:p>
        </w:tc>
      </w:tr>
      <w:tr w:rsidR="00746717" w:rsidRPr="00746717" w14:paraId="539A0D20" w14:textId="77777777">
        <w:tc>
          <w:tcPr>
            <w:tcW w:w="468" w:type="dxa"/>
          </w:tcPr>
          <w:p w14:paraId="09F772F2" w14:textId="77777777" w:rsidR="00746717" w:rsidRPr="00746717" w:rsidRDefault="00746717" w:rsidP="007721EF">
            <w:pPr>
              <w:rPr>
                <w:rFonts w:ascii="Arial" w:hAnsi="Arial" w:cs="Arial"/>
              </w:rPr>
            </w:pPr>
          </w:p>
        </w:tc>
        <w:tc>
          <w:tcPr>
            <w:tcW w:w="7308" w:type="dxa"/>
          </w:tcPr>
          <w:p w14:paraId="750172B2" w14:textId="77777777" w:rsidR="00746717" w:rsidRPr="00746717" w:rsidRDefault="00746717" w:rsidP="00FB7496">
            <w:pPr>
              <w:ind w:left="-108" w:right="720"/>
              <w:rPr>
                <w:rFonts w:ascii="Arial" w:hAnsi="Arial" w:cs="Arial"/>
                <w:b/>
                <w:bCs/>
              </w:rPr>
            </w:pPr>
          </w:p>
        </w:tc>
      </w:tr>
    </w:tbl>
    <w:p w14:paraId="57F66535" w14:textId="77777777" w:rsidR="00A504C0" w:rsidRPr="00746717" w:rsidRDefault="00A504C0" w:rsidP="00727A08">
      <w:pPr>
        <w:pStyle w:val="BodyText2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 xml:space="preserve">The full day program can add topics </w:t>
      </w:r>
      <w:r w:rsidR="00CA009F" w:rsidRPr="00746717">
        <w:rPr>
          <w:rFonts w:ascii="Arial" w:hAnsi="Arial" w:cs="Arial"/>
          <w:sz w:val="24"/>
          <w:szCs w:val="24"/>
        </w:rPr>
        <w:t xml:space="preserve">such as </w:t>
      </w:r>
      <w:r w:rsidRPr="00746717">
        <w:rPr>
          <w:rFonts w:ascii="Arial" w:hAnsi="Arial" w:cs="Arial"/>
          <w:sz w:val="24"/>
          <w:szCs w:val="24"/>
        </w:rPr>
        <w:t>document management, contracts, supplier qualification, litigation, and marketing liability</w:t>
      </w:r>
      <w:r w:rsidR="00CA009F" w:rsidRPr="00746717">
        <w:rPr>
          <w:rFonts w:ascii="Arial" w:hAnsi="Arial" w:cs="Arial"/>
          <w:sz w:val="24"/>
          <w:szCs w:val="24"/>
        </w:rPr>
        <w:t xml:space="preserve"> or just expand the </w:t>
      </w:r>
      <w:r w:rsidRPr="00746717">
        <w:rPr>
          <w:rFonts w:ascii="Arial" w:hAnsi="Arial" w:cs="Arial"/>
          <w:sz w:val="24"/>
          <w:szCs w:val="24"/>
        </w:rPr>
        <w:t xml:space="preserve">time </w:t>
      </w:r>
      <w:r w:rsidR="00CA009F" w:rsidRPr="00746717">
        <w:rPr>
          <w:rFonts w:ascii="Arial" w:hAnsi="Arial" w:cs="Arial"/>
          <w:sz w:val="24"/>
          <w:szCs w:val="24"/>
        </w:rPr>
        <w:t xml:space="preserve">allotted for the above topics.  </w:t>
      </w:r>
      <w:r w:rsidRPr="00746717">
        <w:rPr>
          <w:rFonts w:ascii="Arial" w:hAnsi="Arial" w:cs="Arial"/>
          <w:sz w:val="24"/>
          <w:szCs w:val="24"/>
        </w:rPr>
        <w:t xml:space="preserve">  </w:t>
      </w:r>
    </w:p>
    <w:p w14:paraId="22958144" w14:textId="77777777" w:rsidR="00A504C0" w:rsidRPr="00746717" w:rsidRDefault="00A504C0" w:rsidP="00727A08">
      <w:pPr>
        <w:pStyle w:val="BodyText2"/>
        <w:rPr>
          <w:rFonts w:ascii="Arial" w:hAnsi="Arial" w:cs="Arial"/>
          <w:sz w:val="24"/>
          <w:szCs w:val="24"/>
        </w:rPr>
      </w:pPr>
    </w:p>
    <w:p w14:paraId="5C8CCD77" w14:textId="77777777" w:rsidR="00EC4380" w:rsidRDefault="00A504C0" w:rsidP="00727A08">
      <w:pPr>
        <w:pStyle w:val="BodyText2"/>
        <w:rPr>
          <w:rFonts w:ascii="Arial" w:hAnsi="Arial" w:cs="Arial"/>
          <w:sz w:val="24"/>
          <w:szCs w:val="24"/>
        </w:rPr>
      </w:pPr>
      <w:r w:rsidRPr="00746717">
        <w:rPr>
          <w:rFonts w:ascii="Arial" w:hAnsi="Arial" w:cs="Arial"/>
          <w:sz w:val="24"/>
          <w:szCs w:val="24"/>
        </w:rPr>
        <w:t xml:space="preserve">One </w:t>
      </w:r>
      <w:r w:rsidR="00E7082E" w:rsidRPr="00746717">
        <w:rPr>
          <w:rFonts w:ascii="Arial" w:hAnsi="Arial" w:cs="Arial"/>
          <w:sz w:val="24"/>
          <w:szCs w:val="24"/>
        </w:rPr>
        <w:t>effective option</w:t>
      </w:r>
      <w:r w:rsidRPr="00746717">
        <w:rPr>
          <w:rFonts w:ascii="Arial" w:hAnsi="Arial" w:cs="Arial"/>
          <w:sz w:val="24"/>
          <w:szCs w:val="24"/>
        </w:rPr>
        <w:t xml:space="preserve"> is to have </w:t>
      </w:r>
      <w:r w:rsidR="00CA009F" w:rsidRPr="00746717">
        <w:rPr>
          <w:rFonts w:ascii="Arial" w:hAnsi="Arial" w:cs="Arial"/>
          <w:sz w:val="24"/>
          <w:szCs w:val="24"/>
        </w:rPr>
        <w:t xml:space="preserve">a </w:t>
      </w:r>
      <w:r w:rsidRPr="00746717">
        <w:rPr>
          <w:rFonts w:ascii="Arial" w:hAnsi="Arial" w:cs="Arial"/>
          <w:sz w:val="24"/>
          <w:szCs w:val="24"/>
        </w:rPr>
        <w:t>half-day seminar in the morning and then</w:t>
      </w:r>
      <w:r w:rsidR="009054C8" w:rsidRPr="00746717">
        <w:rPr>
          <w:rFonts w:ascii="Arial" w:hAnsi="Arial" w:cs="Arial"/>
          <w:sz w:val="24"/>
          <w:szCs w:val="24"/>
        </w:rPr>
        <w:t>, in the afternoon,</w:t>
      </w:r>
      <w:r w:rsidRPr="00746717">
        <w:rPr>
          <w:rFonts w:ascii="Arial" w:hAnsi="Arial" w:cs="Arial"/>
          <w:sz w:val="24"/>
          <w:szCs w:val="24"/>
        </w:rPr>
        <w:t xml:space="preserve"> have Ken meet with each of the different departments</w:t>
      </w:r>
      <w:r w:rsidR="009054C8" w:rsidRPr="00746717">
        <w:rPr>
          <w:rFonts w:ascii="Arial" w:hAnsi="Arial" w:cs="Arial"/>
          <w:sz w:val="24"/>
          <w:szCs w:val="24"/>
        </w:rPr>
        <w:t xml:space="preserve"> who attended the seminar</w:t>
      </w:r>
      <w:r w:rsidRPr="00746717">
        <w:rPr>
          <w:rFonts w:ascii="Arial" w:hAnsi="Arial" w:cs="Arial"/>
          <w:sz w:val="24"/>
          <w:szCs w:val="24"/>
        </w:rPr>
        <w:t xml:space="preserve"> – engineering, manufacturing, sales and marketing, and customer service – to answer their specific questions and concerns.  </w:t>
      </w:r>
    </w:p>
    <w:p w14:paraId="20B33E2D" w14:textId="77777777" w:rsidR="00EC4380" w:rsidRDefault="00EC4380" w:rsidP="00727A08">
      <w:pPr>
        <w:pStyle w:val="BodyText2"/>
        <w:rPr>
          <w:rFonts w:ascii="Arial" w:hAnsi="Arial" w:cs="Arial"/>
          <w:sz w:val="24"/>
          <w:szCs w:val="24"/>
        </w:rPr>
      </w:pPr>
    </w:p>
    <w:p w14:paraId="17650610" w14:textId="77777777" w:rsidR="00252631" w:rsidRPr="00746717" w:rsidRDefault="00EC4380">
      <w:pPr>
        <w:pStyle w:val="Body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last option is for Ken to present a </w:t>
      </w:r>
      <w:r w:rsidR="00E63491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>-hour webinar to company personnel with a quick introduction to U.S. product liability laws and a discussion of preventive techniques that could be used to minimize that risk.</w:t>
      </w:r>
    </w:p>
    <w:sectPr w:rsidR="00252631" w:rsidRPr="00746717" w:rsidSect="00252631">
      <w:footerReference w:type="default" r:id="rId11"/>
      <w:type w:val="continuous"/>
      <w:pgSz w:w="12240" w:h="15840"/>
      <w:pgMar w:top="900" w:right="1106" w:bottom="360" w:left="1440" w:header="720" w:footer="3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3B6DB" w14:textId="77777777" w:rsidR="00B3721D" w:rsidRDefault="00B3721D">
      <w:r>
        <w:separator/>
      </w:r>
    </w:p>
  </w:endnote>
  <w:endnote w:type="continuationSeparator" w:id="0">
    <w:p w14:paraId="34326317" w14:textId="77777777" w:rsidR="00B3721D" w:rsidRDefault="00B3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CF7F" w14:textId="77777777" w:rsidR="00052832" w:rsidRPr="00AD69AC" w:rsidRDefault="00052832">
    <w:pPr>
      <w:widowControl w:val="0"/>
      <w:tabs>
        <w:tab w:val="left" w:pos="204"/>
      </w:tabs>
      <w:spacing w:line="226" w:lineRule="exact"/>
      <w:outlineLvl w:val="0"/>
      <w:rPr>
        <w:rFonts w:ascii="Arial" w:hAnsi="Arial" w:cs="Arial"/>
        <w:b/>
        <w:bCs/>
        <w:sz w:val="20"/>
        <w:szCs w:val="20"/>
      </w:rPr>
    </w:pPr>
    <w:r w:rsidRPr="00AD69AC">
      <w:rPr>
        <w:rFonts w:ascii="Arial" w:hAnsi="Arial" w:cs="Arial"/>
        <w:b/>
        <w:bCs/>
        <w:sz w:val="20"/>
        <w:szCs w:val="20"/>
      </w:rPr>
      <w:t>____________________________________________________________________________________</w:t>
    </w:r>
  </w:p>
  <w:p w14:paraId="7D9F1B7E" w14:textId="77777777" w:rsidR="00052832" w:rsidRPr="001F7C36" w:rsidRDefault="00052832">
    <w:pPr>
      <w:widowControl w:val="0"/>
      <w:tabs>
        <w:tab w:val="left" w:pos="204"/>
      </w:tabs>
      <w:spacing w:line="226" w:lineRule="exact"/>
      <w:outlineLvl w:val="0"/>
      <w:rPr>
        <w:rFonts w:ascii="Arial" w:hAnsi="Arial" w:cs="Arial"/>
        <w:b/>
        <w:bCs/>
        <w:i/>
        <w:sz w:val="20"/>
        <w:szCs w:val="20"/>
      </w:rPr>
    </w:pPr>
    <w:r w:rsidRPr="001F7C36">
      <w:rPr>
        <w:rFonts w:ascii="Arial" w:hAnsi="Arial" w:cs="Arial"/>
        <w:b/>
        <w:bCs/>
        <w:i/>
        <w:sz w:val="20"/>
        <w:szCs w:val="20"/>
      </w:rPr>
      <w:t>Bowman and Brooke LLP</w:t>
    </w:r>
  </w:p>
  <w:p w14:paraId="5BEEA13D" w14:textId="77777777" w:rsidR="00587A80" w:rsidRPr="00405BEE" w:rsidRDefault="00587A80" w:rsidP="00587A80">
    <w:pPr>
      <w:widowControl w:val="0"/>
      <w:tabs>
        <w:tab w:val="left" w:pos="204"/>
      </w:tabs>
      <w:spacing w:line="226" w:lineRule="exact"/>
      <w:ind w:right="450"/>
      <w:outlineLvl w:val="0"/>
      <w:rPr>
        <w:rFonts w:ascii="Arial" w:hAnsi="Arial" w:cs="Arial"/>
        <w:bCs/>
        <w:sz w:val="18"/>
        <w:szCs w:val="18"/>
      </w:rPr>
    </w:pPr>
    <w:r w:rsidRPr="00405BEE">
      <w:rPr>
        <w:rFonts w:ascii="Arial" w:hAnsi="Arial" w:cs="Arial"/>
        <w:bCs/>
        <w:sz w:val="18"/>
        <w:szCs w:val="18"/>
      </w:rPr>
      <w:t xml:space="preserve">Minneapolis | Phoenix | Detroit | Los Angeles | San Jose | Richmond  </w:t>
    </w:r>
  </w:p>
  <w:p w14:paraId="6CAC93B9" w14:textId="0FD711EA" w:rsidR="00587A80" w:rsidRDefault="00587A80" w:rsidP="00587A80">
    <w:pPr>
      <w:widowControl w:val="0"/>
      <w:tabs>
        <w:tab w:val="left" w:pos="204"/>
      </w:tabs>
      <w:spacing w:line="226" w:lineRule="exact"/>
      <w:ind w:right="450"/>
      <w:outlineLvl w:val="0"/>
      <w:rPr>
        <w:rFonts w:ascii="Arial" w:hAnsi="Arial" w:cs="Arial"/>
        <w:sz w:val="16"/>
        <w:szCs w:val="20"/>
      </w:rPr>
    </w:pPr>
    <w:r w:rsidRPr="00405BEE">
      <w:rPr>
        <w:rFonts w:ascii="Arial" w:hAnsi="Arial" w:cs="Arial"/>
        <w:bCs/>
        <w:sz w:val="18"/>
        <w:szCs w:val="18"/>
      </w:rPr>
      <w:t>Columbia | Dallas | Austin | San Diego | Miami | Orlando</w:t>
    </w:r>
    <w:r w:rsidR="001B1EB3">
      <w:rPr>
        <w:rFonts w:ascii="Arial" w:hAnsi="Arial" w:cs="Arial"/>
        <w:bCs/>
        <w:sz w:val="18"/>
        <w:szCs w:val="18"/>
      </w:rPr>
      <w:t xml:space="preserve"> </w:t>
    </w:r>
    <w:r w:rsidR="001B1EB3">
      <w:rPr>
        <w:rFonts w:ascii="Arial" w:hAnsi="Arial" w:cs="Arial"/>
        <w:bCs/>
        <w:sz w:val="16"/>
        <w:szCs w:val="20"/>
      </w:rPr>
      <w:t>| New</w:t>
    </w:r>
    <w:r w:rsidR="00EB0111">
      <w:rPr>
        <w:rFonts w:ascii="Arial" w:hAnsi="Arial" w:cs="Arial"/>
        <w:bCs/>
        <w:sz w:val="16"/>
        <w:szCs w:val="20"/>
      </w:rPr>
      <w:t xml:space="preserve"> Brunswick</w:t>
    </w:r>
  </w:p>
  <w:p w14:paraId="33AC15FF" w14:textId="77777777" w:rsidR="00052832" w:rsidRPr="001F7C36" w:rsidRDefault="00052832">
    <w:pPr>
      <w:widowControl w:val="0"/>
      <w:tabs>
        <w:tab w:val="left" w:pos="204"/>
      </w:tabs>
      <w:spacing w:line="226" w:lineRule="exact"/>
      <w:rPr>
        <w:rFonts w:ascii="Arial" w:hAnsi="Arial" w:cs="Arial"/>
        <w:sz w:val="18"/>
        <w:szCs w:val="18"/>
        <w:lang w:val="es-ES"/>
      </w:rPr>
    </w:pPr>
  </w:p>
  <w:p w14:paraId="6BD49FCA" w14:textId="77777777" w:rsidR="00052832" w:rsidRPr="00252631" w:rsidRDefault="00052832">
    <w:pPr>
      <w:pStyle w:val="Footer"/>
      <w:rPr>
        <w:sz w:val="20"/>
        <w:szCs w:val="2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599E" w14:textId="77777777" w:rsidR="00052832" w:rsidRPr="00811425" w:rsidRDefault="00052832" w:rsidP="0081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90473" w14:textId="77777777" w:rsidR="00B3721D" w:rsidRDefault="00B3721D">
      <w:r>
        <w:separator/>
      </w:r>
    </w:p>
  </w:footnote>
  <w:footnote w:type="continuationSeparator" w:id="0">
    <w:p w14:paraId="23C68438" w14:textId="77777777" w:rsidR="00B3721D" w:rsidRDefault="00B3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9FB7625"/>
    <w:multiLevelType w:val="hybridMultilevel"/>
    <w:tmpl w:val="7BA60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03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516DF4"/>
    <w:multiLevelType w:val="multilevel"/>
    <w:tmpl w:val="F41C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5C91C16"/>
    <w:multiLevelType w:val="hybridMultilevel"/>
    <w:tmpl w:val="77EC27C8"/>
    <w:lvl w:ilvl="0" w:tplc="F9DE4F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60F2C"/>
    <w:multiLevelType w:val="multilevel"/>
    <w:tmpl w:val="670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9170B"/>
    <w:multiLevelType w:val="hybridMultilevel"/>
    <w:tmpl w:val="664E43B2"/>
    <w:lvl w:ilvl="0" w:tplc="F9DE4F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6660D6"/>
    <w:multiLevelType w:val="multilevel"/>
    <w:tmpl w:val="F41C9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4D"/>
    <w:rsid w:val="000062F3"/>
    <w:rsid w:val="00052832"/>
    <w:rsid w:val="000633A4"/>
    <w:rsid w:val="000839D7"/>
    <w:rsid w:val="00094B97"/>
    <w:rsid w:val="000F6649"/>
    <w:rsid w:val="00126F26"/>
    <w:rsid w:val="00153B8B"/>
    <w:rsid w:val="001648F7"/>
    <w:rsid w:val="00172AA5"/>
    <w:rsid w:val="00195679"/>
    <w:rsid w:val="00195A5E"/>
    <w:rsid w:val="001B1EB3"/>
    <w:rsid w:val="001E35F4"/>
    <w:rsid w:val="001F7C36"/>
    <w:rsid w:val="00204F6F"/>
    <w:rsid w:val="00232933"/>
    <w:rsid w:val="002359E0"/>
    <w:rsid w:val="00252631"/>
    <w:rsid w:val="00255220"/>
    <w:rsid w:val="00274F6A"/>
    <w:rsid w:val="002C6AB7"/>
    <w:rsid w:val="002D69D5"/>
    <w:rsid w:val="00325473"/>
    <w:rsid w:val="00340892"/>
    <w:rsid w:val="003576A0"/>
    <w:rsid w:val="00372B3D"/>
    <w:rsid w:val="003812A8"/>
    <w:rsid w:val="00387054"/>
    <w:rsid w:val="003E6FA1"/>
    <w:rsid w:val="003F110C"/>
    <w:rsid w:val="00404033"/>
    <w:rsid w:val="00405BEE"/>
    <w:rsid w:val="0043033C"/>
    <w:rsid w:val="00466965"/>
    <w:rsid w:val="00466ACE"/>
    <w:rsid w:val="004A4987"/>
    <w:rsid w:val="004B44B1"/>
    <w:rsid w:val="004E0587"/>
    <w:rsid w:val="004F71ED"/>
    <w:rsid w:val="00545AA6"/>
    <w:rsid w:val="00580C08"/>
    <w:rsid w:val="00587A80"/>
    <w:rsid w:val="005946DE"/>
    <w:rsid w:val="005B7DA0"/>
    <w:rsid w:val="005E2325"/>
    <w:rsid w:val="005F17A5"/>
    <w:rsid w:val="00650234"/>
    <w:rsid w:val="00653446"/>
    <w:rsid w:val="00677E90"/>
    <w:rsid w:val="00692DB8"/>
    <w:rsid w:val="006F36CC"/>
    <w:rsid w:val="00727A08"/>
    <w:rsid w:val="00746717"/>
    <w:rsid w:val="007721EF"/>
    <w:rsid w:val="007802B7"/>
    <w:rsid w:val="007B2C74"/>
    <w:rsid w:val="007C307E"/>
    <w:rsid w:val="007E1E70"/>
    <w:rsid w:val="00803244"/>
    <w:rsid w:val="00811425"/>
    <w:rsid w:val="00823075"/>
    <w:rsid w:val="008249B1"/>
    <w:rsid w:val="00856E97"/>
    <w:rsid w:val="00872E7E"/>
    <w:rsid w:val="00874CAF"/>
    <w:rsid w:val="008B193E"/>
    <w:rsid w:val="008C08D8"/>
    <w:rsid w:val="008E3963"/>
    <w:rsid w:val="009054C8"/>
    <w:rsid w:val="009105B8"/>
    <w:rsid w:val="009443B8"/>
    <w:rsid w:val="009560E5"/>
    <w:rsid w:val="00984F48"/>
    <w:rsid w:val="009853EC"/>
    <w:rsid w:val="009B519C"/>
    <w:rsid w:val="009C7DC1"/>
    <w:rsid w:val="009C7F8B"/>
    <w:rsid w:val="009F40A9"/>
    <w:rsid w:val="00A032D8"/>
    <w:rsid w:val="00A04D4B"/>
    <w:rsid w:val="00A504C0"/>
    <w:rsid w:val="00A62AE7"/>
    <w:rsid w:val="00A904D9"/>
    <w:rsid w:val="00A93CB1"/>
    <w:rsid w:val="00AC31F2"/>
    <w:rsid w:val="00AD69AC"/>
    <w:rsid w:val="00AF22B5"/>
    <w:rsid w:val="00B07DF2"/>
    <w:rsid w:val="00B230B1"/>
    <w:rsid w:val="00B242E1"/>
    <w:rsid w:val="00B3247B"/>
    <w:rsid w:val="00B3721D"/>
    <w:rsid w:val="00B82242"/>
    <w:rsid w:val="00B90FBF"/>
    <w:rsid w:val="00C21DFA"/>
    <w:rsid w:val="00CA009F"/>
    <w:rsid w:val="00CB4A7E"/>
    <w:rsid w:val="00CC63F8"/>
    <w:rsid w:val="00CE3ADD"/>
    <w:rsid w:val="00D0384D"/>
    <w:rsid w:val="00D45259"/>
    <w:rsid w:val="00D47399"/>
    <w:rsid w:val="00D52BFC"/>
    <w:rsid w:val="00D81252"/>
    <w:rsid w:val="00D83F6B"/>
    <w:rsid w:val="00DA01D6"/>
    <w:rsid w:val="00DC6849"/>
    <w:rsid w:val="00E07AF3"/>
    <w:rsid w:val="00E07DD8"/>
    <w:rsid w:val="00E523FA"/>
    <w:rsid w:val="00E557D9"/>
    <w:rsid w:val="00E617BE"/>
    <w:rsid w:val="00E63491"/>
    <w:rsid w:val="00E7082E"/>
    <w:rsid w:val="00E826D7"/>
    <w:rsid w:val="00E8274C"/>
    <w:rsid w:val="00EB0111"/>
    <w:rsid w:val="00EC278A"/>
    <w:rsid w:val="00EC4380"/>
    <w:rsid w:val="00EC6D2F"/>
    <w:rsid w:val="00ED4A0D"/>
    <w:rsid w:val="00EF3CD1"/>
    <w:rsid w:val="00F06D7D"/>
    <w:rsid w:val="00F10FC3"/>
    <w:rsid w:val="00F52140"/>
    <w:rsid w:val="00F55782"/>
    <w:rsid w:val="00F66DBD"/>
    <w:rsid w:val="00FB7496"/>
    <w:rsid w:val="00FC3382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E0773"/>
  <w14:defaultImageDpi w14:val="0"/>
  <w15:docId w15:val="{B3998963-7A54-49EC-8151-64D12078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720"/>
      </w:tabs>
      <w:suppressAutoHyphens/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outlineLvl w:val="2"/>
    </w:pPr>
    <w:rPr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300"/>
        <w:tab w:val="left" w:pos="657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360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300"/>
        <w:tab w:val="left" w:pos="657"/>
      </w:tabs>
      <w:spacing w:line="226" w:lineRule="exact"/>
      <w:ind w:right="45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EnvelopeAddress">
    <w:name w:val="envelope address"/>
    <w:basedOn w:val="Normal"/>
    <w:uiPriority w:val="99"/>
    <w:pPr>
      <w:framePr w:w="5040" w:h="1980" w:hSpace="180" w:wrap="auto" w:vAnchor="page" w:hAnchor="page" w:x="577" w:y="361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tabs>
        <w:tab w:val="left" w:pos="-720"/>
      </w:tabs>
      <w:suppressAutoHyphens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headline1">
    <w:name w:val="headline1"/>
    <w:basedOn w:val="DefaultParagraphFont"/>
    <w:uiPriority w:val="99"/>
    <w:rPr>
      <w:rFonts w:ascii="Verdana" w:hAnsi="Verdana" w:cs="Verdan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ctliabilitypreven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productliabilitypreven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Kenneth Ross</dc:creator>
  <cp:keywords> </cp:keywords>
  <dc:description/>
  <cp:lastModifiedBy>Kenneth Ross</cp:lastModifiedBy>
  <cp:revision>7</cp:revision>
  <cp:lastPrinted>2017-08-13T03:29:00Z</cp:lastPrinted>
  <dcterms:created xsi:type="dcterms:W3CDTF">2017-08-13T03:29:00Z</dcterms:created>
  <dcterms:modified xsi:type="dcterms:W3CDTF">2020-12-06T22:28:00Z</dcterms:modified>
</cp:coreProperties>
</file>